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141E6" w14:textId="77777777" w:rsidR="00113C5A" w:rsidRDefault="00113C5A" w:rsidP="00AC35C4">
      <w:pPr>
        <w:pStyle w:val="F2-zkladn"/>
        <w:rPr>
          <w:b/>
          <w:sz w:val="28"/>
          <w:szCs w:val="28"/>
        </w:rPr>
      </w:pPr>
    </w:p>
    <w:p w14:paraId="5B69C807" w14:textId="77777777" w:rsidR="00B123FF" w:rsidRPr="009C3DB4" w:rsidRDefault="00B123FF" w:rsidP="00AC35C4">
      <w:pPr>
        <w:pStyle w:val="F2-zkladn"/>
        <w:rPr>
          <w:b/>
          <w:sz w:val="28"/>
          <w:szCs w:val="28"/>
        </w:rPr>
      </w:pPr>
      <w:r w:rsidRPr="009C3DB4">
        <w:rPr>
          <w:b/>
          <w:sz w:val="28"/>
          <w:szCs w:val="28"/>
        </w:rPr>
        <w:t xml:space="preserve">TISKOVÁ </w:t>
      </w:r>
      <w:r w:rsidR="00425B35" w:rsidRPr="009C3DB4">
        <w:rPr>
          <w:b/>
          <w:sz w:val="28"/>
          <w:szCs w:val="28"/>
        </w:rPr>
        <w:t>ZPRÁVA</w:t>
      </w:r>
    </w:p>
    <w:p w14:paraId="042BAC95" w14:textId="77777777" w:rsidR="000A2833" w:rsidRPr="009C3DB4" w:rsidRDefault="000747DF" w:rsidP="00AC35C4">
      <w:pPr>
        <w:pStyle w:val="F2-zkladn"/>
        <w:rPr>
          <w:b/>
          <w:sz w:val="28"/>
          <w:szCs w:val="28"/>
        </w:rPr>
      </w:pPr>
      <w:r>
        <w:pict w14:anchorId="6BE80ED6">
          <v:rect id="AutoShape 2" o:spid="_x0000_s1030" alt="Fidelity International" href="https://www.fidelity.cz/" style="width:23.75pt;height:23.75pt;visibility:visible;mso-left-percent:-10001;mso-top-percent:-10001;mso-position-horizontal:absolute;mso-position-horizontal-relative:char;mso-position-vertical:absolute;mso-position-vertical-relative:line;mso-left-percent:-10001;mso-top-percent:-10001" o:button="t" filled="f" stroked="f">
            <v:fill o:detectmouseclick="t"/>
            <o:lock v:ext="edit" aspectratio="t"/>
            <w10:anchorlock/>
          </v:rect>
        </w:pict>
      </w:r>
    </w:p>
    <w:p w14:paraId="1A888328" w14:textId="433160CD" w:rsidR="000A2833" w:rsidRPr="00B362ED" w:rsidRDefault="000747DF" w:rsidP="00AC35C4">
      <w:pPr>
        <w:pStyle w:val="F2-zkladn"/>
        <w:tabs>
          <w:tab w:val="right" w:pos="9070"/>
        </w:tabs>
      </w:pPr>
      <w:r>
        <w:pict w14:anchorId="24FECA5C">
          <v:rect id="AutoShape 5" o:spid="_x0000_s1029" alt="Fidelity International" href="https://www.fidelity.cz/" style="width:23.75pt;height:23.75pt;visibility:visible;mso-left-percent:-10001;mso-top-percent:-10001;mso-position-horizontal:absolute;mso-position-horizontal-relative:char;mso-position-vertical:absolute;mso-position-vertical-relative:line;mso-left-percent:-10001;mso-top-percent:-10001" o:button="t" filled="f" stroked="f">
            <v:fill o:detectmouseclick="t"/>
            <o:lock v:ext="edit" aspectratio="t"/>
            <w10:anchorlock/>
          </v:rect>
        </w:pict>
      </w:r>
      <w:r w:rsidR="00DE3946" w:rsidRPr="00B362ED">
        <w:tab/>
        <w:t xml:space="preserve">Praha, </w:t>
      </w:r>
      <w:r w:rsidR="00A26BB0">
        <w:t>1</w:t>
      </w:r>
      <w:r w:rsidR="00A30105">
        <w:t xml:space="preserve">. </w:t>
      </w:r>
      <w:r w:rsidR="00161E6B">
        <w:t>dubna</w:t>
      </w:r>
      <w:r w:rsidR="00A30105">
        <w:t xml:space="preserve"> 20</w:t>
      </w:r>
      <w:r w:rsidR="00A26BB0">
        <w:t>20</w:t>
      </w:r>
    </w:p>
    <w:p w14:paraId="589AE904" w14:textId="49EA1C7D" w:rsidR="00051703" w:rsidRDefault="00161E6B" w:rsidP="00A30105">
      <w:pPr>
        <w:pStyle w:val="F2-zkladn"/>
        <w:tabs>
          <w:tab w:val="right" w:pos="9070"/>
        </w:tabs>
        <w:rPr>
          <w:b/>
          <w:sz w:val="28"/>
          <w:szCs w:val="28"/>
        </w:rPr>
      </w:pPr>
      <w:r w:rsidRPr="00161E6B">
        <w:rPr>
          <w:b/>
          <w:sz w:val="28"/>
          <w:szCs w:val="28"/>
        </w:rPr>
        <w:t>Čína a její sousedé restartují dodavatelské řetězce</w:t>
      </w:r>
    </w:p>
    <w:p w14:paraId="68ED28A3" w14:textId="77777777" w:rsidR="00051703" w:rsidRDefault="00051703" w:rsidP="00A26BB0">
      <w:pPr>
        <w:pStyle w:val="Normlnweb"/>
        <w:shd w:val="clear" w:color="auto" w:fill="FFFFFF"/>
        <w:spacing w:before="0" w:line="330" w:lineRule="atLeast"/>
        <w:rPr>
          <w:b/>
          <w:lang w:val="x-none" w:eastAsia="x-none"/>
        </w:rPr>
      </w:pPr>
    </w:p>
    <w:p w14:paraId="1E685578" w14:textId="3553BFAD" w:rsidR="00051703" w:rsidRDefault="00051703" w:rsidP="00A26BB0">
      <w:pPr>
        <w:pStyle w:val="Normlnweb"/>
        <w:shd w:val="clear" w:color="auto" w:fill="FFFFFF"/>
        <w:spacing w:before="0" w:line="330" w:lineRule="atLeast"/>
        <w:rPr>
          <w:b/>
          <w:lang w:val="x-none" w:eastAsia="x-none"/>
        </w:rPr>
      </w:pPr>
      <w:r w:rsidRPr="00051703">
        <w:rPr>
          <w:b/>
          <w:lang w:val="x-none" w:eastAsia="x-none"/>
        </w:rPr>
        <w:t xml:space="preserve">Tým akciových analytiků </w:t>
      </w:r>
      <w:proofErr w:type="spellStart"/>
      <w:r w:rsidRPr="00051703">
        <w:rPr>
          <w:b/>
          <w:lang w:val="x-none" w:eastAsia="x-none"/>
        </w:rPr>
        <w:t>Fidelity</w:t>
      </w:r>
      <w:proofErr w:type="spellEnd"/>
      <w:r w:rsidRPr="00051703">
        <w:rPr>
          <w:b/>
          <w:lang w:val="x-none" w:eastAsia="x-none"/>
        </w:rPr>
        <w:t xml:space="preserve"> International a Bob </w:t>
      </w:r>
      <w:proofErr w:type="spellStart"/>
      <w:r w:rsidRPr="00051703">
        <w:rPr>
          <w:b/>
          <w:lang w:val="x-none" w:eastAsia="x-none"/>
        </w:rPr>
        <w:t>Chen</w:t>
      </w:r>
      <w:proofErr w:type="spellEnd"/>
      <w:r w:rsidRPr="00051703">
        <w:rPr>
          <w:b/>
          <w:lang w:val="x-none" w:eastAsia="x-none"/>
        </w:rPr>
        <w:t xml:space="preserve">, </w:t>
      </w:r>
      <w:proofErr w:type="spellStart"/>
      <w:r w:rsidRPr="00051703">
        <w:rPr>
          <w:b/>
          <w:lang w:val="x-none" w:eastAsia="x-none"/>
        </w:rPr>
        <w:t>Investment</w:t>
      </w:r>
      <w:proofErr w:type="spellEnd"/>
      <w:r w:rsidRPr="00051703">
        <w:rPr>
          <w:b/>
          <w:lang w:val="x-none" w:eastAsia="x-none"/>
        </w:rPr>
        <w:t xml:space="preserve"> </w:t>
      </w:r>
      <w:proofErr w:type="spellStart"/>
      <w:r w:rsidRPr="00051703">
        <w:rPr>
          <w:b/>
          <w:lang w:val="x-none" w:eastAsia="x-none"/>
        </w:rPr>
        <w:t>Writer</w:t>
      </w:r>
      <w:proofErr w:type="spellEnd"/>
    </w:p>
    <w:p w14:paraId="52476D97" w14:textId="77777777" w:rsidR="00051703" w:rsidRDefault="00051703" w:rsidP="00A26BB0">
      <w:pPr>
        <w:pStyle w:val="Normlnweb"/>
        <w:shd w:val="clear" w:color="auto" w:fill="FFFFFF"/>
        <w:spacing w:before="0" w:line="330" w:lineRule="atLeast"/>
        <w:rPr>
          <w:b/>
          <w:lang w:val="x-none" w:eastAsia="x-none"/>
        </w:rPr>
      </w:pPr>
    </w:p>
    <w:p w14:paraId="309044FD" w14:textId="6D3CD86B" w:rsidR="00161E6B" w:rsidRPr="009F30F0" w:rsidRDefault="00161E6B" w:rsidP="00A26BB0">
      <w:pPr>
        <w:pStyle w:val="Normlnweb"/>
        <w:shd w:val="clear" w:color="auto" w:fill="FFFFFF"/>
        <w:spacing w:before="0" w:line="330" w:lineRule="atLeast"/>
        <w:rPr>
          <w:b/>
          <w:lang w:val="x-none" w:eastAsia="x-none"/>
        </w:rPr>
      </w:pPr>
      <w:bookmarkStart w:id="0" w:name="_GoBack"/>
      <w:bookmarkEnd w:id="0"/>
      <w:r w:rsidRPr="00161E6B">
        <w:rPr>
          <w:b/>
          <w:lang w:val="x-none" w:eastAsia="x-none"/>
        </w:rPr>
        <w:t xml:space="preserve">S tím, jak se čínská ekonomika oklepává ze zákazu vycházení, hlásí analytici </w:t>
      </w:r>
      <w:proofErr w:type="spellStart"/>
      <w:r w:rsidRPr="00161E6B">
        <w:rPr>
          <w:b/>
          <w:lang w:val="x-none" w:eastAsia="x-none"/>
        </w:rPr>
        <w:t>Fidelity</w:t>
      </w:r>
      <w:proofErr w:type="spellEnd"/>
      <w:r w:rsidRPr="00161E6B">
        <w:rPr>
          <w:b/>
          <w:lang w:val="x-none" w:eastAsia="x-none"/>
        </w:rPr>
        <w:t xml:space="preserve"> </w:t>
      </w:r>
      <w:proofErr w:type="spellStart"/>
      <w:r w:rsidRPr="00161E6B">
        <w:rPr>
          <w:b/>
          <w:lang w:val="x-none" w:eastAsia="x-none"/>
        </w:rPr>
        <w:t>Intenational</w:t>
      </w:r>
      <w:proofErr w:type="spellEnd"/>
      <w:r w:rsidRPr="00161E6B">
        <w:rPr>
          <w:b/>
          <w:lang w:val="x-none" w:eastAsia="x-none"/>
        </w:rPr>
        <w:t xml:space="preserve"> aktivitu v rozlehlé síti asijských továren, přístavů a logistických center. Přístavní jeřáby se v některých největších asijských přístavech znovu otáčí, protože produkce z čínských továren se po týdnech narušení </w:t>
      </w:r>
      <w:proofErr w:type="spellStart"/>
      <w:r w:rsidRPr="00161E6B">
        <w:rPr>
          <w:b/>
          <w:lang w:val="x-none" w:eastAsia="x-none"/>
        </w:rPr>
        <w:t>koronavirem</w:t>
      </w:r>
      <w:proofErr w:type="spellEnd"/>
      <w:r w:rsidRPr="00161E6B">
        <w:rPr>
          <w:b/>
          <w:lang w:val="x-none" w:eastAsia="x-none"/>
        </w:rPr>
        <w:t xml:space="preserve"> opět zvyšuje.</w:t>
      </w:r>
    </w:p>
    <w:p w14:paraId="39F94351" w14:textId="01CC2DD7" w:rsidR="009F30F0" w:rsidRP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 xml:space="preserve">Vedoucí společnost působící v oblasti námořní dopravy se na svých obchodních trasách v Asii postavila „zpět na nohy“, a v provozu má přibližně 70 procent plavidel (měřeno podle historických průměrů), zatímco na začátku února to bylo využití pouze 50procentní. V regionu se plně nezotavily objemy dopravy Čína-Jižní Korea, zatímco ekonomiky ASEAN byly čínským únorovým zákazem vycházení ovlivněny jen mírně a nejrychleji se odráží ode dna. </w:t>
      </w:r>
    </w:p>
    <w:p w14:paraId="2F2ADA4B" w14:textId="60A2257F" w:rsidR="009F30F0" w:rsidRP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>Úroveň aktivity na pevnině se odráží i v přístavech. Čínské expresní doručovací společnosti zaznamenaly ve svých třídírnách (</w:t>
      </w:r>
      <w:proofErr w:type="spellStart"/>
      <w:r w:rsidRPr="009F30F0">
        <w:rPr>
          <w:color w:val="323130"/>
          <w:bdr w:val="none" w:sz="0" w:space="0" w:color="auto" w:frame="1"/>
        </w:rPr>
        <w:t>hubech</w:t>
      </w:r>
      <w:proofErr w:type="spellEnd"/>
      <w:r w:rsidRPr="009F30F0">
        <w:rPr>
          <w:color w:val="323130"/>
          <w:bdr w:val="none" w:sz="0" w:space="0" w:color="auto" w:frame="1"/>
        </w:rPr>
        <w:t xml:space="preserve">) využití 90 procent svých kapacit, čímž odstranily napjatou situaci ve skladovacích kapacitách. Ta byla </w:t>
      </w:r>
      <w:r>
        <w:rPr>
          <w:color w:val="323130"/>
          <w:bdr w:val="none" w:sz="0" w:space="0" w:color="auto" w:frame="1"/>
        </w:rPr>
        <w:t>z</w:t>
      </w:r>
      <w:r w:rsidRPr="009F30F0">
        <w:rPr>
          <w:color w:val="323130"/>
          <w:bdr w:val="none" w:sz="0" w:space="0" w:color="auto" w:frame="1"/>
        </w:rPr>
        <w:t>působená únorovým nedostatkem pracovníků vzniklým celostátními cestovními omezeními a karanténními opatřeními.</w:t>
      </w:r>
    </w:p>
    <w:p w14:paraId="551FC1B4" w14:textId="5CBE445F" w:rsidR="009F30F0" w:rsidRP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>Dodavatelské řetězce se zotavují v celé řadě sektorů. Vedoucí pracovníci v chemickém průmyslu sdělili našim sektorovým analytikům, že oživení v Číně bylo mnohem rychlejší, než očekávali, a výroba tak může běžet téměř na normální úrovni. Výrobci smartphonů a polovodičů jsou na dobré cestě, aby se koncem března vrátili na 90 procent svého provozu, přičemž v polovině února byli na 70 procentech.</w:t>
      </w:r>
    </w:p>
    <w:p w14:paraId="26F7A85E" w14:textId="66E43B27" w:rsidR="009F30F0" w:rsidRPr="009F30F0" w:rsidRDefault="009F30F0" w:rsidP="009F30F0">
      <w:pPr>
        <w:pStyle w:val="F2-zkladn"/>
        <w:tabs>
          <w:tab w:val="right" w:pos="9070"/>
        </w:tabs>
        <w:rPr>
          <w:b/>
          <w:bCs/>
          <w:color w:val="323130"/>
          <w:bdr w:val="none" w:sz="0" w:space="0" w:color="auto" w:frame="1"/>
        </w:rPr>
      </w:pPr>
      <w:r w:rsidRPr="009F30F0">
        <w:rPr>
          <w:b/>
          <w:bCs/>
          <w:color w:val="323130"/>
          <w:bdr w:val="none" w:sz="0" w:space="0" w:color="auto" w:frame="1"/>
        </w:rPr>
        <w:t>Technologie stojí na výsluní</w:t>
      </w:r>
    </w:p>
    <w:p w14:paraId="39020CD4" w14:textId="007211D6" w:rsidR="009F30F0" w:rsidRP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>Výroba technologických zařízení stojí na výsluní díky úzkému propojení sítě dodavatelů v celém regionu i rychl</w:t>
      </w:r>
      <w:r>
        <w:rPr>
          <w:color w:val="323130"/>
          <w:bdr w:val="none" w:sz="0" w:space="0" w:color="auto" w:frame="1"/>
        </w:rPr>
        <w:t>ému</w:t>
      </w:r>
      <w:r w:rsidRPr="009F30F0">
        <w:rPr>
          <w:color w:val="323130"/>
          <w:bdr w:val="none" w:sz="0" w:space="0" w:color="auto" w:frame="1"/>
        </w:rPr>
        <w:t xml:space="preserve"> oživení poptávky v Číně. Prodej smartphonů se po únorovém propadu teď v březnu meziročně zvýšil. Investice do 5G také zůstaly slušné, soudě podle tendrů na vybavení, které se konaly v posledních několika týdnech. Například společnost </w:t>
      </w:r>
      <w:proofErr w:type="spellStart"/>
      <w:r w:rsidRPr="009F30F0">
        <w:rPr>
          <w:color w:val="323130"/>
          <w:bdr w:val="none" w:sz="0" w:space="0" w:color="auto" w:frame="1"/>
        </w:rPr>
        <w:t>China</w:t>
      </w:r>
      <w:proofErr w:type="spellEnd"/>
      <w:r w:rsidRPr="009F30F0">
        <w:rPr>
          <w:color w:val="323130"/>
          <w:bdr w:val="none" w:sz="0" w:space="0" w:color="auto" w:frame="1"/>
        </w:rPr>
        <w:t xml:space="preserve"> Mobile usiluje o rozmístění více než 232 000 základnových stanic 5G a rozšíření pokrytí na 28 regionů po celé Číně. Vláda tlačí na telekomunikační společnosti, aby došlo k urychlení zavádění pokrytí a aby tak podpořila regionální výrobce komponentů.</w:t>
      </w:r>
    </w:p>
    <w:p w14:paraId="503AD8AA" w14:textId="251C4C25" w:rsidR="009F30F0" w:rsidRP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 xml:space="preserve">V Jižní Koreji a na Tchaj-wanu zaznamenaly společnosti v technologickém dodavatelském řetězci kvůli </w:t>
      </w:r>
      <w:proofErr w:type="spellStart"/>
      <w:r w:rsidRPr="009F30F0">
        <w:rPr>
          <w:color w:val="323130"/>
          <w:bdr w:val="none" w:sz="0" w:space="0" w:color="auto" w:frame="1"/>
        </w:rPr>
        <w:t>koronaviru</w:t>
      </w:r>
      <w:proofErr w:type="spellEnd"/>
      <w:r w:rsidRPr="009F30F0">
        <w:rPr>
          <w:color w:val="323130"/>
          <w:bdr w:val="none" w:sz="0" w:space="0" w:color="auto" w:frame="1"/>
        </w:rPr>
        <w:t xml:space="preserve"> jen minimální narušení. Továrny pokračovaly ve výrobě i přes Lunární Nový rok a </w:t>
      </w:r>
      <w:r w:rsidRPr="009F30F0">
        <w:rPr>
          <w:color w:val="323130"/>
          <w:bdr w:val="none" w:sz="0" w:space="0" w:color="auto" w:frame="1"/>
        </w:rPr>
        <w:lastRenderedPageBreak/>
        <w:t>společnosti, které mají továrny na pevnině i na Tchaj-wanu, vytěžovaly své tchajwanské továrny na více než 100 procent, aby kompenzovaly uzavírky na pevnině.</w:t>
      </w:r>
    </w:p>
    <w:p w14:paraId="427A6252" w14:textId="36EC5F99" w:rsidR="009F30F0" w:rsidRPr="009F30F0" w:rsidRDefault="009F30F0" w:rsidP="009F30F0">
      <w:pPr>
        <w:pStyle w:val="F2-zkladn"/>
        <w:tabs>
          <w:tab w:val="right" w:pos="9070"/>
        </w:tabs>
        <w:rPr>
          <w:b/>
          <w:bCs/>
          <w:color w:val="323130"/>
          <w:bdr w:val="none" w:sz="0" w:space="0" w:color="auto" w:frame="1"/>
        </w:rPr>
      </w:pPr>
      <w:r w:rsidRPr="009F30F0">
        <w:rPr>
          <w:b/>
          <w:bCs/>
          <w:color w:val="323130"/>
          <w:bdr w:val="none" w:sz="0" w:space="0" w:color="auto" w:frame="1"/>
        </w:rPr>
        <w:t>Jak země omezují pohyb, jsou přepisovány dodavatelské řetězce</w:t>
      </w:r>
    </w:p>
    <w:p w14:paraId="57B32920" w14:textId="3322FBCF" w:rsidR="009F30F0" w:rsidRP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>Filipíny například omezily veškerý pohyb tam a zpět z hlavního ostrova Luzon. Společnost Samsung zde přitom má některé továrny na výrobu paměťových zařízení. To pak vyžaduje realokaci do Koreje a Číny, nebo hrozí riziko zpomalení výroby. Některé technologické společnosti, které mají výrobu v Evropě nebo USA</w:t>
      </w:r>
      <w:r>
        <w:rPr>
          <w:color w:val="323130"/>
          <w:bdr w:val="none" w:sz="0" w:space="0" w:color="auto" w:frame="1"/>
        </w:rPr>
        <w:t>,</w:t>
      </w:r>
      <w:r w:rsidRPr="009F30F0">
        <w:rPr>
          <w:color w:val="323130"/>
          <w:bdr w:val="none" w:sz="0" w:space="0" w:color="auto" w:frame="1"/>
        </w:rPr>
        <w:t xml:space="preserve"> očekávají, že tyto výroby nyní získají svůj podíl na trhu, protože logistika se v důsledku omezení pohybu stává obtížnější.</w:t>
      </w:r>
    </w:p>
    <w:p w14:paraId="4A5FA196" w14:textId="60230F76" w:rsidR="009F30F0" w:rsidRP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>Jednou z oblastí, která je pod drobnohledem Západu</w:t>
      </w:r>
      <w:r>
        <w:rPr>
          <w:color w:val="323130"/>
          <w:bdr w:val="none" w:sz="0" w:space="0" w:color="auto" w:frame="1"/>
        </w:rPr>
        <w:t>,</w:t>
      </w:r>
      <w:r w:rsidRPr="009F30F0">
        <w:rPr>
          <w:color w:val="323130"/>
          <w:bdr w:val="none" w:sz="0" w:space="0" w:color="auto" w:frame="1"/>
        </w:rPr>
        <w:t xml:space="preserve"> je zdravotnictví, protože v Asii se vyrábí mnoho léků a nemocničních potřeb. Domníváme se, že obavy jsou zde přehnané. Indie omezuje vývoz několika léků, ale pouze těch, kterých je v Indii nedostatek. Čína poskytuje 40 procent aktivních farmaceutických složek (API) používaných v indických generikách, které se pak exportují na Západ. Výroba těchto složek se postupně vrací k normálu a odhadujeme, že výrobní linky zde dosahují 70 až 80 procent kapacit.</w:t>
      </w:r>
    </w:p>
    <w:p w14:paraId="55422590" w14:textId="3C151059" w:rsidR="009F30F0" w:rsidRP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>Čína je klíčovým vývozcem zdravotnického materiálu, jako jsou masky a ochranné pomůcky. V USA a EU se ozývá volání po domácí výrobě, aby vstoupila do řetězce a snížila se tak závislost na dodavatelích z Číny. Doposud nevidíme opravdový dopad, zatím je spíše rozumnější navýšit dovoz než přesunout celý dodavatelský řetězec zpět do západních zemí. Tyto materiály jsou snadné na výrobu a náročné na pracovní sílu, a proto byly dodavatelské řetězce přeneseny převážně do Číny.</w:t>
      </w:r>
    </w:p>
    <w:p w14:paraId="7855FCBA" w14:textId="318F5B02" w:rsidR="009F30F0" w:rsidRPr="009F30F0" w:rsidRDefault="009F30F0" w:rsidP="009F30F0">
      <w:pPr>
        <w:pStyle w:val="F2-zkladn"/>
        <w:tabs>
          <w:tab w:val="right" w:pos="9070"/>
        </w:tabs>
        <w:rPr>
          <w:b/>
          <w:bCs/>
          <w:color w:val="323130"/>
          <w:bdr w:val="none" w:sz="0" w:space="0" w:color="auto" w:frame="1"/>
        </w:rPr>
      </w:pPr>
      <w:r w:rsidRPr="009F30F0">
        <w:rPr>
          <w:b/>
          <w:bCs/>
          <w:color w:val="323130"/>
          <w:bdr w:val="none" w:sz="0" w:space="0" w:color="auto" w:frame="1"/>
        </w:rPr>
        <w:t>Světová poptávka je klíčová</w:t>
      </w:r>
    </w:p>
    <w:p w14:paraId="04D49ADF" w14:textId="14559059" w:rsidR="009F30F0" w:rsidRP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 xml:space="preserve">Ačkoli se asijské dodavatelské řetězce a lodní přeprava vrací zpět na své původní úrovně, hlavním problémem je vliv nákazy na celosvětovou poptávku. </w:t>
      </w:r>
    </w:p>
    <w:p w14:paraId="7807D332" w14:textId="66DCC1B2" w:rsidR="009F30F0" w:rsidRP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 xml:space="preserve">Těžební společnosti, které zaznamenaly, že se poptávka v Asii začíná znovu zvyšovat, nyní čelí prudkému poklesu poptávky jinde na světě, zejména v Evropě. Začíná to vlastně proměňovat také nabídkovou stranu, protože některé dodavatelské řetězce jsou pod tlakem přímých dopadů Covid-19. Dva měďné projekty již naznačily, že na ně situace doléhá. </w:t>
      </w:r>
    </w:p>
    <w:p w14:paraId="6A7D8350" w14:textId="3572FA36" w:rsidR="009F30F0" w:rsidRP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>Výzvou v Číně vzhledem k slabému prodeji automobilů je také poptávka po chemikáliích. Pokud jde o technologie (kromě zavádění 5G)</w:t>
      </w:r>
      <w:r>
        <w:rPr>
          <w:color w:val="323130"/>
          <w:bdr w:val="none" w:sz="0" w:space="0" w:color="auto" w:frame="1"/>
        </w:rPr>
        <w:t>,</w:t>
      </w:r>
      <w:r w:rsidRPr="009F30F0">
        <w:rPr>
          <w:color w:val="323130"/>
          <w:bdr w:val="none" w:sz="0" w:space="0" w:color="auto" w:frame="1"/>
        </w:rPr>
        <w:t xml:space="preserve"> oslabení poptávky ze zámoří by se mělo začít projevovat v příštích několika týdnech. Mohli bychom </w:t>
      </w:r>
      <w:r>
        <w:rPr>
          <w:color w:val="323130"/>
          <w:bdr w:val="none" w:sz="0" w:space="0" w:color="auto" w:frame="1"/>
        </w:rPr>
        <w:t xml:space="preserve">ale </w:t>
      </w:r>
      <w:r w:rsidRPr="009F30F0">
        <w:rPr>
          <w:color w:val="323130"/>
          <w:bdr w:val="none" w:sz="0" w:space="0" w:color="auto" w:frame="1"/>
        </w:rPr>
        <w:t>také zaznamenat pozitivní vedlejší účinky, jako je větší poptávka po systémech pro práci na dálku a datových centrech nebo nižší obchodní napětí mezi Čínou a USA.</w:t>
      </w:r>
    </w:p>
    <w:p w14:paraId="131201B1" w14:textId="77777777" w:rsidR="009F30F0" w:rsidRDefault="009F30F0" w:rsidP="009F30F0">
      <w:pPr>
        <w:pStyle w:val="F2-zkladn"/>
        <w:tabs>
          <w:tab w:val="right" w:pos="9070"/>
        </w:tabs>
        <w:rPr>
          <w:color w:val="323130"/>
          <w:bdr w:val="none" w:sz="0" w:space="0" w:color="auto" w:frame="1"/>
        </w:rPr>
      </w:pPr>
      <w:r w:rsidRPr="009F30F0">
        <w:rPr>
          <w:color w:val="323130"/>
          <w:bdr w:val="none" w:sz="0" w:space="0" w:color="auto" w:frame="1"/>
        </w:rPr>
        <w:t>Vysoká míra volatility a nejistoty bude pravděpodobně nějakou dobu přetrvávat, protože se ohnisko rozšiřuje dále a hlouběji po celém světě. Nicméně odolnost dodavatelských řetězců a čínských obchodních sítí pocházejících z Číny přináší určité povzbuzení.</w:t>
      </w:r>
    </w:p>
    <w:p w14:paraId="7A65EED4" w14:textId="4D2D888F" w:rsidR="001A0CB6" w:rsidRPr="009C3DB4" w:rsidRDefault="001A0CB6" w:rsidP="009F30F0">
      <w:pPr>
        <w:pStyle w:val="F2-zkladn"/>
        <w:tabs>
          <w:tab w:val="right" w:pos="9070"/>
        </w:tabs>
        <w:rPr>
          <w:b/>
        </w:rPr>
      </w:pPr>
      <w:r w:rsidRPr="009C3DB4">
        <w:rPr>
          <w:b/>
        </w:rPr>
        <w:t>Pro více informací kontaktujte:</w:t>
      </w:r>
    </w:p>
    <w:p w14:paraId="3388347A" w14:textId="77777777" w:rsidR="001A0CB6" w:rsidRPr="009F30F0" w:rsidRDefault="001A0CB6" w:rsidP="00AC35C4">
      <w:pPr>
        <w:spacing w:before="0" w:line="360" w:lineRule="auto"/>
        <w:rPr>
          <w:bCs/>
        </w:rPr>
      </w:pPr>
      <w:r w:rsidRPr="009F30F0">
        <w:rPr>
          <w:bCs/>
        </w:rPr>
        <w:t>Marcela Štefcová</w:t>
      </w:r>
    </w:p>
    <w:p w14:paraId="0B51F0BC" w14:textId="77777777" w:rsidR="001A0CB6" w:rsidRPr="009C3DB4" w:rsidRDefault="001A0CB6" w:rsidP="00AC35C4">
      <w:pPr>
        <w:spacing w:before="0" w:line="240" w:lineRule="atLeast"/>
        <w:rPr>
          <w:b/>
          <w:bCs/>
        </w:rPr>
      </w:pPr>
      <w:r w:rsidRPr="009C3DB4">
        <w:rPr>
          <w:b/>
          <w:bCs/>
        </w:rPr>
        <w:t>Crest Communications, a.s.</w:t>
      </w:r>
    </w:p>
    <w:p w14:paraId="618D098D" w14:textId="77777777" w:rsidR="001A0CB6" w:rsidRPr="009C3DB4" w:rsidRDefault="001A0CB6" w:rsidP="00AC35C4">
      <w:pPr>
        <w:spacing w:before="0" w:line="240" w:lineRule="atLeast"/>
      </w:pPr>
    </w:p>
    <w:p w14:paraId="7AB45B55" w14:textId="77777777" w:rsidR="001A0CB6" w:rsidRPr="009C3DB4" w:rsidRDefault="001A0CB6" w:rsidP="00AC35C4">
      <w:pPr>
        <w:spacing w:before="0" w:line="240" w:lineRule="atLeast"/>
      </w:pPr>
      <w:r w:rsidRPr="009C3DB4">
        <w:t>Ostrovní 126/30</w:t>
      </w:r>
    </w:p>
    <w:p w14:paraId="7420C868" w14:textId="77777777" w:rsidR="001A0CB6" w:rsidRPr="009C3DB4" w:rsidRDefault="001A0CB6" w:rsidP="00AC35C4">
      <w:pPr>
        <w:spacing w:before="0" w:line="240" w:lineRule="atLeast"/>
      </w:pPr>
      <w:r w:rsidRPr="009C3DB4">
        <w:t>110 00 Praha 1</w:t>
      </w:r>
    </w:p>
    <w:p w14:paraId="28B539CA" w14:textId="77777777" w:rsidR="001A0CB6" w:rsidRPr="009C3DB4" w:rsidRDefault="001A0CB6" w:rsidP="00AC35C4">
      <w:pPr>
        <w:spacing w:before="0" w:line="240" w:lineRule="atLeast"/>
      </w:pPr>
      <w:proofErr w:type="spellStart"/>
      <w:r w:rsidRPr="009C3DB4">
        <w:lastRenderedPageBreak/>
        <w:t>gsm</w:t>
      </w:r>
      <w:proofErr w:type="spellEnd"/>
      <w:r w:rsidRPr="009C3DB4">
        <w:t>: + 420 731 613 669</w:t>
      </w:r>
    </w:p>
    <w:p w14:paraId="4B76C589" w14:textId="77777777" w:rsidR="001A0CB6" w:rsidRPr="009C3DB4" w:rsidRDefault="000747DF" w:rsidP="00AC35C4">
      <w:pPr>
        <w:spacing w:before="0" w:line="240" w:lineRule="atLeast"/>
      </w:pPr>
      <w:hyperlink w:tooltip="blocked::http://www.crestcom.cz&#10;http://www.crestcom.cz/" w:history="1">
        <w:r w:rsidR="001A0CB6" w:rsidRPr="009C3DB4">
          <w:rPr>
            <w:rStyle w:val="Hypertextovodkaz"/>
            <w:color w:val="990033"/>
          </w:rPr>
          <w:t>www.crestcom.cz</w:t>
        </w:r>
      </w:hyperlink>
    </w:p>
    <w:p w14:paraId="2684F9BB" w14:textId="77777777" w:rsidR="001A0CB6" w:rsidRPr="009C3DB4" w:rsidRDefault="001A0CB6" w:rsidP="00AC35C4">
      <w:pPr>
        <w:spacing w:before="0" w:line="240" w:lineRule="atLeast"/>
      </w:pPr>
      <w:r w:rsidRPr="009C3DB4">
        <w:rPr>
          <w:color w:val="000000"/>
        </w:rPr>
        <w:t xml:space="preserve">e-mail: </w:t>
      </w:r>
      <w:hyperlink r:id="rId8" w:history="1">
        <w:r w:rsidRPr="009C3DB4">
          <w:rPr>
            <w:rStyle w:val="Hypertextovodkaz"/>
            <w:color w:val="990033"/>
          </w:rPr>
          <w:t>marcela.stefcova@crestcom.cz</w:t>
        </w:r>
      </w:hyperlink>
    </w:p>
    <w:p w14:paraId="566D300F" w14:textId="77777777" w:rsidR="00C16BE6" w:rsidRDefault="00C16BE6" w:rsidP="00C16BE6">
      <w:pPr>
        <w:pStyle w:val="F2-zkladn"/>
        <w:rPr>
          <w:b/>
        </w:rPr>
      </w:pPr>
      <w:r w:rsidRPr="009C3DB4">
        <w:rPr>
          <w:b/>
        </w:rPr>
        <w:t>Informace pro editory:</w:t>
      </w:r>
    </w:p>
    <w:p w14:paraId="35D980F9" w14:textId="77777777" w:rsidR="00C16BE6" w:rsidRPr="00645857" w:rsidRDefault="00C16BE6" w:rsidP="00C16BE6">
      <w:pPr>
        <w:shd w:val="clear" w:color="auto" w:fill="FFFFFF"/>
        <w:spacing w:before="100" w:beforeAutospacing="1" w:after="100" w:afterAutospacing="1" w:line="240" w:lineRule="auto"/>
        <w:rPr>
          <w:rFonts w:eastAsia="Calibri"/>
          <w:sz w:val="18"/>
          <w:lang w:eastAsia="en-US"/>
        </w:rPr>
      </w:pPr>
      <w:proofErr w:type="spellStart"/>
      <w:r w:rsidRPr="008F1A81">
        <w:rPr>
          <w:b/>
          <w:sz w:val="18"/>
        </w:rPr>
        <w:t>Fidelity</w:t>
      </w:r>
      <w:proofErr w:type="spellEnd"/>
      <w:r w:rsidRPr="008F1A81">
        <w:rPr>
          <w:b/>
          <w:sz w:val="18"/>
        </w:rPr>
        <w:t xml:space="preserve"> International </w:t>
      </w:r>
      <w:r w:rsidRPr="008F1A81">
        <w:rPr>
          <w:sz w:val="18"/>
        </w:rPr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</w:t>
      </w:r>
      <w:r>
        <w:rPr>
          <w:sz w:val="18"/>
        </w:rPr>
        <w:t>kongu, Toki</w:t>
      </w:r>
      <w:r w:rsidRPr="008F1A81">
        <w:rPr>
          <w:sz w:val="18"/>
        </w:rPr>
        <w:t xml:space="preserve">u, Singapuru, Soulu, </w:t>
      </w:r>
      <w:r>
        <w:rPr>
          <w:sz w:val="18"/>
        </w:rPr>
        <w:t>Dillí</w:t>
      </w:r>
      <w:r w:rsidRPr="008F1A81">
        <w:rPr>
          <w:sz w:val="18"/>
        </w:rPr>
        <w:t xml:space="preserve">, </w:t>
      </w:r>
      <w:r>
        <w:rPr>
          <w:sz w:val="18"/>
        </w:rPr>
        <w:t>Bombaji</w:t>
      </w:r>
      <w:r w:rsidRPr="008F1A81">
        <w:rPr>
          <w:sz w:val="18"/>
        </w:rPr>
        <w:t xml:space="preserve"> a v Sydney. V současné době administruje aktiva ve výši 87 mld</w:t>
      </w:r>
      <w:r>
        <w:rPr>
          <w:sz w:val="18"/>
        </w:rPr>
        <w:t>.</w:t>
      </w:r>
      <w:r w:rsidRPr="008F1A81">
        <w:rPr>
          <w:sz w:val="18"/>
        </w:rPr>
        <w:t xml:space="preserve"> USD (</w:t>
      </w:r>
      <w:proofErr w:type="spellStart"/>
      <w:r w:rsidRPr="008F1A81">
        <w:rPr>
          <w:sz w:val="18"/>
        </w:rPr>
        <w:t>assets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under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administration</w:t>
      </w:r>
      <w:proofErr w:type="spellEnd"/>
      <w:r w:rsidRPr="008F1A81">
        <w:rPr>
          <w:sz w:val="18"/>
        </w:rPr>
        <w:t>) a globálně pro klienty invest</w:t>
      </w:r>
      <w:r>
        <w:rPr>
          <w:sz w:val="18"/>
        </w:rPr>
        <w:t>ovala</w:t>
      </w:r>
      <w:r w:rsidRPr="008F1A81">
        <w:rPr>
          <w:sz w:val="18"/>
        </w:rPr>
        <w:t xml:space="preserve"> 290 mld</w:t>
      </w:r>
      <w:r>
        <w:rPr>
          <w:sz w:val="18"/>
        </w:rPr>
        <w:t>.</w:t>
      </w:r>
      <w:r w:rsidRPr="008F1A81">
        <w:rPr>
          <w:sz w:val="18"/>
        </w:rPr>
        <w:t xml:space="preserve"> USD ve 25 zemích napříč Evropou, Asií, Tichomořím, středním Východem a jižní Amerikou. V </w:t>
      </w:r>
      <w:r w:rsidRPr="00645857">
        <w:rPr>
          <w:rFonts w:eastAsia="Calibri"/>
          <w:sz w:val="18"/>
          <w:lang w:eastAsia="en-US"/>
        </w:rPr>
        <w:t xml:space="preserve">České republice </w:t>
      </w:r>
      <w:proofErr w:type="spellStart"/>
      <w:r w:rsidRPr="00645857">
        <w:rPr>
          <w:rFonts w:eastAsia="Calibri"/>
          <w:sz w:val="18"/>
          <w:lang w:eastAsia="en-US"/>
        </w:rPr>
        <w:t>Fidelity</w:t>
      </w:r>
      <w:proofErr w:type="spellEnd"/>
      <w:r w:rsidRPr="00645857">
        <w:rPr>
          <w:rFonts w:eastAsia="Calibri"/>
          <w:sz w:val="18"/>
          <w:lang w:eastAsia="en-US"/>
        </w:rPr>
        <w:t xml:space="preserve">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14:paraId="74359BE8" w14:textId="77777777" w:rsidR="00C16BE6" w:rsidRPr="00FA269B" w:rsidRDefault="00C16BE6" w:rsidP="00C16BE6">
      <w:pPr>
        <w:pStyle w:val="F2-zkladn"/>
        <w:rPr>
          <w:b/>
        </w:rPr>
      </w:pPr>
      <w:r w:rsidRPr="00FA269B">
        <w:rPr>
          <w:b/>
        </w:rPr>
        <w:t>Upozornění na rizika</w:t>
      </w:r>
    </w:p>
    <w:p w14:paraId="47AB101D" w14:textId="77777777"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</w:t>
      </w:r>
      <w:r>
        <w:rPr>
          <w:sz w:val="18"/>
          <w:szCs w:val="18"/>
        </w:rPr>
        <w:t xml:space="preserve">o </w:t>
      </w:r>
      <w:r w:rsidRPr="00FA269B">
        <w:rPr>
          <w:sz w:val="18"/>
          <w:szCs w:val="18"/>
        </w:rPr>
        <w:t xml:space="preserve">nejnovější půlroční zprávu. Tyto dokumenty tvoří jediný závazný základ pro nákup. Tyto dokumenty získáte bezplatně v pobočce FIL </w:t>
      </w:r>
      <w:proofErr w:type="spellStart"/>
      <w:r w:rsidRPr="00FA269B">
        <w:rPr>
          <w:sz w:val="18"/>
          <w:szCs w:val="18"/>
        </w:rPr>
        <w:t>Investment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Services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GmbH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Kastanienhöhe</w:t>
      </w:r>
      <w:proofErr w:type="spellEnd"/>
      <w:r w:rsidRPr="00FA269B">
        <w:rPr>
          <w:sz w:val="18"/>
          <w:szCs w:val="18"/>
        </w:rPr>
        <w:t xml:space="preserve"> 1, D-61476 </w:t>
      </w:r>
      <w:proofErr w:type="spellStart"/>
      <w:r w:rsidRPr="00FA269B">
        <w:rPr>
          <w:sz w:val="18"/>
          <w:szCs w:val="18"/>
        </w:rPr>
        <w:t>Kronberg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im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Taunus</w:t>
      </w:r>
      <w:proofErr w:type="spellEnd"/>
      <w:r w:rsidRPr="00FA269B">
        <w:rPr>
          <w:sz w:val="18"/>
          <w:szCs w:val="18"/>
        </w:rPr>
        <w:t xml:space="preserve">, Německo,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</w:t>
      </w:r>
      <w:proofErr w:type="spellStart"/>
      <w:r w:rsidRPr="00FA269B">
        <w:rPr>
          <w:sz w:val="18"/>
          <w:szCs w:val="18"/>
        </w:rPr>
        <w:t>Austria</w:t>
      </w:r>
      <w:proofErr w:type="spellEnd"/>
      <w:r w:rsidRPr="00FA269B">
        <w:rPr>
          <w:sz w:val="18"/>
          <w:szCs w:val="18"/>
        </w:rPr>
        <w:t xml:space="preserve"> AG, </w:t>
      </w:r>
      <w:proofErr w:type="spellStart"/>
      <w:r w:rsidRPr="00FA269B">
        <w:rPr>
          <w:sz w:val="18"/>
          <w:szCs w:val="18"/>
        </w:rPr>
        <w:t>Vordere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Zollamtstrasse</w:t>
      </w:r>
      <w:proofErr w:type="spellEnd"/>
      <w:r w:rsidRPr="00FA269B">
        <w:rPr>
          <w:sz w:val="18"/>
          <w:szCs w:val="18"/>
        </w:rPr>
        <w:t xml:space="preserve"> 13, A-1030 Vídeň,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Slovakia, a. s., </w:t>
      </w:r>
      <w:proofErr w:type="spellStart"/>
      <w:r w:rsidRPr="00FA269B">
        <w:rPr>
          <w:sz w:val="18"/>
          <w:szCs w:val="18"/>
        </w:rPr>
        <w:t>Šancova</w:t>
      </w:r>
      <w:proofErr w:type="spellEnd"/>
      <w:r w:rsidRPr="00FA269B">
        <w:rPr>
          <w:sz w:val="18"/>
          <w:szCs w:val="18"/>
        </w:rPr>
        <w:t xml:space="preserve"> 1/A, 813 33 Bratislava, nebo v Unicredit Bank Czech Republic, a. s., náměstí Republiky 3a, 111 21 Praha 1, nebo na adresách www.fidelity.at, www.fidelity.cz, www.fidelity.sk.</w:t>
      </w:r>
    </w:p>
    <w:p w14:paraId="0895F3B1" w14:textId="77777777" w:rsidR="00C16BE6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Vydává</w:t>
      </w:r>
    </w:p>
    <w:p w14:paraId="7BB287E4" w14:textId="77777777" w:rsidR="00C16BE6" w:rsidRPr="00FA269B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 w:rsidRPr="00FA269B">
        <w:rPr>
          <w:sz w:val="18"/>
          <w:szCs w:val="18"/>
        </w:rPr>
        <w:t>FIL (</w:t>
      </w:r>
      <w:proofErr w:type="spellStart"/>
      <w:r w:rsidRPr="00FA269B">
        <w:rPr>
          <w:sz w:val="18"/>
          <w:szCs w:val="18"/>
        </w:rPr>
        <w:t>Luxembourg</w:t>
      </w:r>
      <w:proofErr w:type="spellEnd"/>
      <w:r w:rsidRPr="00FA269B">
        <w:rPr>
          <w:sz w:val="18"/>
          <w:szCs w:val="18"/>
        </w:rPr>
        <w:t xml:space="preserve">) S.A. </w:t>
      </w:r>
      <w:proofErr w:type="spellStart"/>
      <w:r w:rsidRPr="00FA269B">
        <w:rPr>
          <w:sz w:val="18"/>
          <w:szCs w:val="18"/>
        </w:rPr>
        <w:t>Zweigniederlassung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Wien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Mariahilfer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Straße</w:t>
      </w:r>
      <w:proofErr w:type="spellEnd"/>
      <w:r w:rsidRPr="00FA269B">
        <w:rPr>
          <w:sz w:val="18"/>
          <w:szCs w:val="18"/>
        </w:rPr>
        <w:t xml:space="preserve"> 36, 1070 Vídeň, IČO: FN 374007 </w:t>
      </w:r>
    </w:p>
    <w:p w14:paraId="0B1437AF" w14:textId="77777777"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International, logo </w:t>
      </w:r>
      <w:proofErr w:type="spellStart"/>
      <w:r w:rsidRPr="00FA269B">
        <w:rPr>
          <w:sz w:val="18"/>
          <w:szCs w:val="18"/>
        </w:rPr>
        <w:t>Fidelity</w:t>
      </w:r>
      <w:proofErr w:type="spellEnd"/>
      <w:r w:rsidRPr="00FA269B">
        <w:rPr>
          <w:sz w:val="18"/>
          <w:szCs w:val="18"/>
        </w:rPr>
        <w:t xml:space="preserve"> International a symbol F jsou registrované ochranné známky společnosti FIL Limited.</w:t>
      </w:r>
    </w:p>
    <w:p w14:paraId="21A8DFCF" w14:textId="77777777" w:rsidR="00A82FF0" w:rsidRDefault="00A82FF0" w:rsidP="00A82FF0">
      <w:pPr>
        <w:pStyle w:val="F2-zkladn"/>
        <w:spacing w:line="240" w:lineRule="auto"/>
        <w:rPr>
          <w:b/>
          <w:bCs/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 xml:space="preserve">Notes to </w:t>
      </w:r>
      <w:proofErr w:type="spellStart"/>
      <w:r>
        <w:rPr>
          <w:b/>
          <w:bCs/>
          <w:color w:val="000000"/>
          <w:sz w:val="18"/>
          <w:szCs w:val="18"/>
          <w:shd w:val="clear" w:color="auto" w:fill="FFFFFF"/>
        </w:rPr>
        <w:t>editors</w:t>
      </w:r>
      <w:proofErr w:type="spellEnd"/>
    </w:p>
    <w:p w14:paraId="669EDA9E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UCITS II ICAV is registered in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Ireland</w:t>
        </w:r>
      </w:smartTag>
      <w:r w:rsidRPr="00681745">
        <w:rPr>
          <w:color w:val="000000"/>
          <w:sz w:val="18"/>
          <w:szCs w:val="18"/>
          <w:lang w:val="en-US"/>
        </w:rPr>
        <w:t xml:space="preserve"> pursuant to the Irish Collective Asset-management Vehicles Act 2015 and is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by the Central Bank of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Ireland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as a UCITS.</w:t>
      </w:r>
    </w:p>
    <w:p w14:paraId="7735D81B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only offers information on products and services and does not provide investment advice based on individual circumstances, other than when specifically stipulated by an appropriately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firm, in a formal communication with the client.</w:t>
      </w:r>
    </w:p>
    <w:p w14:paraId="67B0758C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International refers to the group of companies which form the global investment management </w:t>
      </w:r>
      <w:proofErr w:type="spellStart"/>
      <w:r w:rsidRPr="00681745">
        <w:rPr>
          <w:color w:val="000000"/>
          <w:sz w:val="18"/>
          <w:szCs w:val="18"/>
          <w:lang w:val="en-US"/>
        </w:rPr>
        <w:t>organisation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that provides information on products and services in designated jurisdictions outside of </w:t>
      </w:r>
      <w:smartTag w:uri="urn:schemas-microsoft-com:office:smarttags" w:element="place">
        <w:r w:rsidRPr="00681745">
          <w:rPr>
            <w:color w:val="000000"/>
            <w:sz w:val="18"/>
            <w:szCs w:val="18"/>
            <w:lang w:val="en-US"/>
          </w:rPr>
          <w:t>North America</w:t>
        </w:r>
      </w:smartTag>
      <w:r w:rsidRPr="00681745">
        <w:rPr>
          <w:color w:val="000000"/>
          <w:sz w:val="18"/>
          <w:szCs w:val="18"/>
          <w:lang w:val="en-US"/>
        </w:rPr>
        <w:t xml:space="preserve">. This communication is not directed at, and must not be acted upon by persons inside the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United States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and is otherwise only directed at persons residing in jurisdictions where the relevant funds are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for distribution or where no such </w:t>
      </w:r>
      <w:proofErr w:type="spellStart"/>
      <w:r w:rsidRPr="00681745">
        <w:rPr>
          <w:color w:val="000000"/>
          <w:sz w:val="18"/>
          <w:szCs w:val="18"/>
          <w:lang w:val="en-US"/>
        </w:rPr>
        <w:t>authorisation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is required.</w:t>
      </w:r>
    </w:p>
    <w:p w14:paraId="779A71DE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Unless otherwise stated all products and services are provided by Fidelity International, and all views expressed are those of Fidelity International. Fidelity, Fidelity International, the Fidelity International logo and F symbol are registered trademarks of FIL Limited.</w:t>
      </w:r>
    </w:p>
    <w:p w14:paraId="7B0F5512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b/>
          <w:bCs/>
          <w:color w:val="000000"/>
          <w:sz w:val="18"/>
          <w:szCs w:val="18"/>
          <w:lang w:val="en-US"/>
        </w:rPr>
        <w:t>We recommend that you obtain detailed information before taking any investment decision.</w:t>
      </w:r>
      <w:r w:rsidRPr="00681745">
        <w:rPr>
          <w:color w:val="000000"/>
          <w:sz w:val="18"/>
          <w:szCs w:val="18"/>
          <w:lang w:val="en-US"/>
        </w:rPr>
        <w:t> Investments should be made on the basis of the current prospectus, the relevant supplement and KIID (key investor information document), which is available along with the current annual and semi-annual reports free of charge from our distributors, the entities listed below or from our </w:t>
      </w:r>
      <w:r w:rsidRPr="00681745">
        <w:rPr>
          <w:b/>
          <w:bCs/>
          <w:color w:val="000000"/>
          <w:sz w:val="18"/>
          <w:szCs w:val="18"/>
          <w:lang w:val="en-US"/>
        </w:rPr>
        <w:t>European Service Centre in Luxembourg</w:t>
      </w:r>
      <w:r w:rsidRPr="00681745">
        <w:rPr>
          <w:color w:val="000000"/>
          <w:sz w:val="18"/>
          <w:szCs w:val="18"/>
          <w:lang w:val="en-US"/>
        </w:rPr>
        <w:t xml:space="preserve">, FIL (Luxembourg) S.A. 2a, rue Albert </w:t>
      </w:r>
      <w:proofErr w:type="spellStart"/>
      <w:r w:rsidRPr="00681745">
        <w:rPr>
          <w:color w:val="000000"/>
          <w:sz w:val="18"/>
          <w:szCs w:val="18"/>
          <w:lang w:val="en-US"/>
        </w:rPr>
        <w:t>Borschette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BP 2174 L-1021 Luxembourg.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Austria</w:t>
        </w:r>
      </w:smartTag>
      <w:r w:rsidRPr="00681745">
        <w:rPr>
          <w:color w:val="000000"/>
          <w:sz w:val="18"/>
          <w:szCs w:val="18"/>
          <w:lang w:val="en-US"/>
        </w:rPr>
        <w:t xml:space="preserve">: Our Austrian paying agent UniCredit Bank Austria AG, </w:t>
      </w:r>
      <w:proofErr w:type="spellStart"/>
      <w:r w:rsidRPr="00681745">
        <w:rPr>
          <w:color w:val="000000"/>
          <w:sz w:val="18"/>
          <w:szCs w:val="18"/>
          <w:lang w:val="en-US"/>
        </w:rPr>
        <w:t>Schottengasse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6-8, 1010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Vienna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Austria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www.fidelity.at. </w:t>
      </w:r>
      <w:r w:rsidRPr="00681745">
        <w:rPr>
          <w:b/>
          <w:bCs/>
          <w:color w:val="000000"/>
          <w:sz w:val="18"/>
          <w:szCs w:val="18"/>
          <w:lang w:val="en-US"/>
        </w:rPr>
        <w:t>Czech Republic</w:t>
      </w:r>
      <w:r w:rsidRPr="00681745">
        <w:rPr>
          <w:color w:val="000000"/>
          <w:sz w:val="18"/>
          <w:szCs w:val="18"/>
          <w:lang w:val="en-US"/>
        </w:rPr>
        <w:t xml:space="preserve">: Our Paying agent UniCredit Bank Czech Republic </w:t>
      </w:r>
      <w:proofErr w:type="spellStart"/>
      <w:r w:rsidRPr="00681745">
        <w:rPr>
          <w:color w:val="000000"/>
          <w:sz w:val="18"/>
          <w:szCs w:val="18"/>
          <w:lang w:val="en-US"/>
        </w:rPr>
        <w:t>a.s.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Zeletavska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1525/1, 14092 </w:t>
      </w:r>
      <w:proofErr w:type="spellStart"/>
      <w:r w:rsidRPr="00681745">
        <w:rPr>
          <w:color w:val="000000"/>
          <w:sz w:val="18"/>
          <w:szCs w:val="18"/>
          <w:lang w:val="en-US"/>
        </w:rPr>
        <w:t>Prag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4 - </w:t>
      </w:r>
      <w:proofErr w:type="spellStart"/>
      <w:r w:rsidRPr="00681745">
        <w:rPr>
          <w:color w:val="000000"/>
          <w:sz w:val="18"/>
          <w:szCs w:val="18"/>
          <w:lang w:val="en-US"/>
        </w:rPr>
        <w:t>Michle</w:t>
      </w:r>
      <w:proofErr w:type="spellEnd"/>
      <w:r w:rsidRPr="00681745">
        <w:rPr>
          <w:color w:val="000000"/>
          <w:sz w:val="18"/>
          <w:szCs w:val="18"/>
          <w:lang w:val="en-US"/>
        </w:rPr>
        <w:t>, Czech Republic. The KIID is available in Czech language.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France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Gestion,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N°GP03-004, 29 rue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de Berri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PostalCode">
          <w:r w:rsidRPr="00681745">
            <w:rPr>
              <w:color w:val="000000"/>
              <w:sz w:val="18"/>
              <w:szCs w:val="18"/>
              <w:lang w:val="en-US"/>
            </w:rPr>
            <w:t>75008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Paris. The document is available in French upon request. 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b/>
              <w:bCs/>
              <w:color w:val="000000"/>
              <w:sz w:val="18"/>
              <w:szCs w:val="18"/>
              <w:lang w:val="en-US"/>
            </w:rPr>
            <w:t>Germany</w:t>
          </w:r>
        </w:smartTag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Investment Services GmbH, </w:t>
      </w:r>
      <w:proofErr w:type="spellStart"/>
      <w:r w:rsidRPr="00681745">
        <w:rPr>
          <w:color w:val="000000"/>
          <w:sz w:val="18"/>
          <w:szCs w:val="18"/>
          <w:lang w:val="en-US"/>
        </w:rPr>
        <w:t>Postfach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200237, 60606 Frankfurt/Main or </w:t>
      </w:r>
      <w:r w:rsidRPr="00681745">
        <w:rPr>
          <w:color w:val="000000"/>
          <w:sz w:val="18"/>
          <w:szCs w:val="18"/>
          <w:lang w:val="en-US"/>
        </w:rPr>
        <w:lastRenderedPageBreak/>
        <w:t>www.fidelity.de.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Hungary</w:t>
        </w:r>
      </w:smartTag>
      <w:r w:rsidRPr="00681745">
        <w:rPr>
          <w:color w:val="000000"/>
          <w:sz w:val="18"/>
          <w:szCs w:val="18"/>
          <w:lang w:val="en-US"/>
        </w:rPr>
        <w:t xml:space="preserve">: Raiffeisen </w:t>
      </w:r>
      <w:proofErr w:type="spellStart"/>
      <w:r w:rsidRPr="00681745">
        <w:rPr>
          <w:color w:val="000000"/>
          <w:sz w:val="18"/>
          <w:szCs w:val="18"/>
          <w:lang w:val="en-US"/>
        </w:rPr>
        <w:t>Zentralbank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Österreich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AG, </w:t>
      </w:r>
      <w:proofErr w:type="spellStart"/>
      <w:r w:rsidRPr="00681745">
        <w:rPr>
          <w:color w:val="000000"/>
          <w:sz w:val="18"/>
          <w:szCs w:val="18"/>
          <w:lang w:val="en-US"/>
        </w:rPr>
        <w:t>Akademia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u. 6, 1054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Budapest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Hungarian language. </w:t>
      </w:r>
      <w:r w:rsidRPr="00681745">
        <w:rPr>
          <w:b/>
          <w:bCs/>
          <w:color w:val="000000"/>
          <w:sz w:val="18"/>
          <w:szCs w:val="18"/>
          <w:lang w:val="en-US"/>
        </w:rPr>
        <w:t>Netherlands</w:t>
      </w:r>
      <w:r w:rsidRPr="00681745">
        <w:rPr>
          <w:color w:val="000000"/>
          <w:sz w:val="18"/>
          <w:szCs w:val="18"/>
          <w:lang w:val="en-US"/>
        </w:rPr>
        <w:t xml:space="preserve">: FIL (Luxembourg) S.A., Netherlands Branch (registered with the AFM), World Trade Centre, Tower H, 6th Floor, </w:t>
      </w:r>
      <w:proofErr w:type="spellStart"/>
      <w:r w:rsidRPr="00681745">
        <w:rPr>
          <w:color w:val="000000"/>
          <w:sz w:val="18"/>
          <w:szCs w:val="18"/>
          <w:lang w:val="en-US"/>
        </w:rPr>
        <w:t>Zuidplein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52, 1077 XV Amsterdam (tel. 0031 20 79 77 100).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Poland</w:t>
        </w:r>
      </w:smartTag>
      <w:r w:rsidRPr="00681745">
        <w:rPr>
          <w:color w:val="000000"/>
          <w:sz w:val="18"/>
          <w:szCs w:val="18"/>
          <w:lang w:val="en-US"/>
        </w:rPr>
        <w:t>:</w:t>
      </w:r>
      <w:r w:rsidRPr="00681745">
        <w:rPr>
          <w:b/>
          <w:bCs/>
          <w:color w:val="000000"/>
          <w:sz w:val="18"/>
          <w:szCs w:val="18"/>
          <w:lang w:val="en-US"/>
        </w:rPr>
        <w:t> </w:t>
      </w:r>
      <w:r w:rsidRPr="00681745">
        <w:rPr>
          <w:color w:val="000000"/>
          <w:sz w:val="18"/>
          <w:szCs w:val="18"/>
          <w:lang w:val="en-US"/>
        </w:rPr>
        <w:t xml:space="preserve">Our representative office in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Poland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www.fidelity.pl. The Additional Information for Investors is available upon request.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Our paying agent UniCredit Bank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a.s.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Sancova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1/A 81333,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Slovakia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Slovak language.</w:t>
      </w:r>
    </w:p>
    <w:p w14:paraId="163F8475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Issued by: FIL (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Luxembourg</w:t>
        </w:r>
      </w:smartTag>
      <w:r w:rsidRPr="00681745">
        <w:rPr>
          <w:color w:val="000000"/>
          <w:sz w:val="18"/>
          <w:szCs w:val="18"/>
          <w:lang w:val="en-US"/>
        </w:rPr>
        <w:t xml:space="preserve">)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S.A.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CSSF (Commission de</w:t>
      </w:r>
    </w:p>
    <w:p w14:paraId="1DC94C28" w14:textId="77777777" w:rsidR="00645857" w:rsidRPr="00A30105" w:rsidRDefault="00A82FF0" w:rsidP="00A3010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Surveillance du </w:t>
      </w:r>
      <w:proofErr w:type="spellStart"/>
      <w:r w:rsidRPr="00681745">
        <w:rPr>
          <w:color w:val="000000"/>
          <w:sz w:val="18"/>
          <w:szCs w:val="18"/>
          <w:lang w:val="en-US"/>
        </w:rPr>
        <w:t>Secteur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Financier) / FIL Gestion,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/ FIL Investments Services GmbH.</w:t>
      </w:r>
    </w:p>
    <w:sectPr w:rsidR="00645857" w:rsidRPr="00A30105" w:rsidSect="002F1160">
      <w:headerReference w:type="default" r:id="rId9"/>
      <w:footerReference w:type="default" r:id="rId10"/>
      <w:headerReference w:type="first" r:id="rId11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64B82" w14:textId="77777777" w:rsidR="000747DF" w:rsidRDefault="000747DF">
      <w:r>
        <w:separator/>
      </w:r>
    </w:p>
  </w:endnote>
  <w:endnote w:type="continuationSeparator" w:id="0">
    <w:p w14:paraId="6B27821F" w14:textId="77777777" w:rsidR="000747DF" w:rsidRDefault="000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36D45" w14:textId="77777777"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BC11C" w14:textId="77777777" w:rsidR="000747DF" w:rsidRDefault="000747DF">
      <w:r>
        <w:separator/>
      </w:r>
    </w:p>
  </w:footnote>
  <w:footnote w:type="continuationSeparator" w:id="0">
    <w:p w14:paraId="11DDDD26" w14:textId="77777777" w:rsidR="000747DF" w:rsidRDefault="000747DF">
      <w:r>
        <w:continuationSeparator/>
      </w:r>
    </w:p>
  </w:footnote>
  <w:footnote w:type="continuationNotice" w:id="1">
    <w:p w14:paraId="61B5769D" w14:textId="77777777" w:rsidR="000747DF" w:rsidRDefault="000747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05C17" w14:textId="77777777"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5BC0F" w14:textId="77777777" w:rsidR="001D1343" w:rsidRDefault="000747DF">
    <w:pPr>
      <w:pStyle w:val="Zhlav"/>
    </w:pPr>
    <w:r>
      <w:rPr>
        <w:noProof/>
      </w:rPr>
      <w:pict w14:anchorId="31061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29.25pt;margin-top:20.1pt;width:124.5pt;height:38.25pt;z-index:1">
          <v:imagedata r:id="rId1" o:title=""/>
          <w10:wrap type="square"/>
        </v:shape>
      </w:pict>
    </w:r>
  </w:p>
  <w:p w14:paraId="4A8C7805" w14:textId="77777777" w:rsidR="001D1343" w:rsidRDefault="001D1343">
    <w:pPr>
      <w:pStyle w:val="Zhlav"/>
    </w:pPr>
  </w:p>
  <w:p w14:paraId="09E5393A" w14:textId="77777777"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 w:tplc="EAA44104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8D1CFA08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CC463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06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24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AFA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DC5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A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A5A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6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1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4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5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015B7"/>
    <w:multiLevelType w:val="hybridMultilevel"/>
    <w:tmpl w:val="D40EC4D8"/>
    <w:lvl w:ilvl="0" w:tplc="9D94A2EE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2FCABB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461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E3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03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107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208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C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C8B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6"/>
  </w:num>
  <w:num w:numId="4">
    <w:abstractNumId w:val="40"/>
  </w:num>
  <w:num w:numId="5">
    <w:abstractNumId w:val="22"/>
  </w:num>
  <w:num w:numId="6">
    <w:abstractNumId w:val="24"/>
  </w:num>
  <w:num w:numId="7">
    <w:abstractNumId w:val="19"/>
  </w:num>
  <w:num w:numId="8">
    <w:abstractNumId w:val="39"/>
  </w:num>
  <w:num w:numId="9">
    <w:abstractNumId w:val="2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8"/>
  </w:num>
  <w:num w:numId="22">
    <w:abstractNumId w:val="35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3"/>
  </w:num>
  <w:num w:numId="33">
    <w:abstractNumId w:val="29"/>
  </w:num>
  <w:num w:numId="34">
    <w:abstractNumId w:val="12"/>
  </w:num>
  <w:num w:numId="35">
    <w:abstractNumId w:val="33"/>
  </w:num>
  <w:num w:numId="36">
    <w:abstractNumId w:val="11"/>
  </w:num>
  <w:num w:numId="37">
    <w:abstractNumId w:val="30"/>
  </w:num>
  <w:num w:numId="38">
    <w:abstractNumId w:val="20"/>
  </w:num>
  <w:num w:numId="39">
    <w:abstractNumId w:val="26"/>
  </w:num>
  <w:num w:numId="40">
    <w:abstractNumId w:val="17"/>
  </w:num>
  <w:num w:numId="41">
    <w:abstractNumId w:val="32"/>
  </w:num>
  <w:num w:numId="42">
    <w:abstractNumId w:val="16"/>
  </w:num>
  <w:num w:numId="4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1703"/>
    <w:rsid w:val="00052178"/>
    <w:rsid w:val="0005404F"/>
    <w:rsid w:val="00054FEF"/>
    <w:rsid w:val="00062BEA"/>
    <w:rsid w:val="0007034E"/>
    <w:rsid w:val="0007090F"/>
    <w:rsid w:val="00070C89"/>
    <w:rsid w:val="00071169"/>
    <w:rsid w:val="00073A88"/>
    <w:rsid w:val="00073D6F"/>
    <w:rsid w:val="000747DF"/>
    <w:rsid w:val="000755DF"/>
    <w:rsid w:val="000763EB"/>
    <w:rsid w:val="00076A25"/>
    <w:rsid w:val="00080750"/>
    <w:rsid w:val="00092137"/>
    <w:rsid w:val="00093E98"/>
    <w:rsid w:val="000940D0"/>
    <w:rsid w:val="000A2833"/>
    <w:rsid w:val="000A3FFF"/>
    <w:rsid w:val="000A5FDF"/>
    <w:rsid w:val="000B0FBB"/>
    <w:rsid w:val="000B2426"/>
    <w:rsid w:val="000C0E0E"/>
    <w:rsid w:val="000C4D6D"/>
    <w:rsid w:val="000C5471"/>
    <w:rsid w:val="000C772F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1E6B"/>
    <w:rsid w:val="001628BC"/>
    <w:rsid w:val="00172F1C"/>
    <w:rsid w:val="0017506A"/>
    <w:rsid w:val="0018406F"/>
    <w:rsid w:val="0018525E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7AB"/>
    <w:rsid w:val="001E67FF"/>
    <w:rsid w:val="001F4B06"/>
    <w:rsid w:val="001F627F"/>
    <w:rsid w:val="002006D5"/>
    <w:rsid w:val="00201CD7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2D93"/>
    <w:rsid w:val="0023608B"/>
    <w:rsid w:val="00236922"/>
    <w:rsid w:val="00236A18"/>
    <w:rsid w:val="00236C7C"/>
    <w:rsid w:val="00236FC4"/>
    <w:rsid w:val="00245331"/>
    <w:rsid w:val="00252C08"/>
    <w:rsid w:val="00255E9C"/>
    <w:rsid w:val="00256692"/>
    <w:rsid w:val="00257859"/>
    <w:rsid w:val="00267F47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45D92"/>
    <w:rsid w:val="0045291A"/>
    <w:rsid w:val="00452BD8"/>
    <w:rsid w:val="004544F8"/>
    <w:rsid w:val="00454D44"/>
    <w:rsid w:val="00455259"/>
    <w:rsid w:val="0046155B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D1014"/>
    <w:rsid w:val="004D3633"/>
    <w:rsid w:val="004E1CB1"/>
    <w:rsid w:val="004E2D7E"/>
    <w:rsid w:val="004E6300"/>
    <w:rsid w:val="004F1DDB"/>
    <w:rsid w:val="004F2995"/>
    <w:rsid w:val="004F324F"/>
    <w:rsid w:val="004F688F"/>
    <w:rsid w:val="004F7624"/>
    <w:rsid w:val="005007C8"/>
    <w:rsid w:val="00502D84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E1A38"/>
    <w:rsid w:val="005E2179"/>
    <w:rsid w:val="005E2AA8"/>
    <w:rsid w:val="005E45D5"/>
    <w:rsid w:val="005E616C"/>
    <w:rsid w:val="005E6624"/>
    <w:rsid w:val="006031EF"/>
    <w:rsid w:val="006044C8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EB3"/>
    <w:rsid w:val="006573B5"/>
    <w:rsid w:val="00657D5A"/>
    <w:rsid w:val="00661FF2"/>
    <w:rsid w:val="00662C87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CCA"/>
    <w:rsid w:val="006F640B"/>
    <w:rsid w:val="00705A61"/>
    <w:rsid w:val="007109F6"/>
    <w:rsid w:val="00716604"/>
    <w:rsid w:val="0071719A"/>
    <w:rsid w:val="0071726D"/>
    <w:rsid w:val="007176A7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5296"/>
    <w:rsid w:val="007B655B"/>
    <w:rsid w:val="007B7639"/>
    <w:rsid w:val="007C18F2"/>
    <w:rsid w:val="007C1AC1"/>
    <w:rsid w:val="007C1FEC"/>
    <w:rsid w:val="007C46D1"/>
    <w:rsid w:val="007C5731"/>
    <w:rsid w:val="007F1637"/>
    <w:rsid w:val="007F4ABD"/>
    <w:rsid w:val="007F7B5C"/>
    <w:rsid w:val="00800307"/>
    <w:rsid w:val="00800365"/>
    <w:rsid w:val="008014EC"/>
    <w:rsid w:val="008029BA"/>
    <w:rsid w:val="008111C3"/>
    <w:rsid w:val="00813471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45F6"/>
    <w:rsid w:val="00917246"/>
    <w:rsid w:val="00917547"/>
    <w:rsid w:val="0091759A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32F"/>
    <w:rsid w:val="009D580B"/>
    <w:rsid w:val="009D6294"/>
    <w:rsid w:val="009E6ACF"/>
    <w:rsid w:val="009F30F0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6BB0"/>
    <w:rsid w:val="00A2793B"/>
    <w:rsid w:val="00A30105"/>
    <w:rsid w:val="00A31ADE"/>
    <w:rsid w:val="00A35D3C"/>
    <w:rsid w:val="00A37C9A"/>
    <w:rsid w:val="00A41C95"/>
    <w:rsid w:val="00A433A9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45C"/>
    <w:rsid w:val="00A727FC"/>
    <w:rsid w:val="00A72E35"/>
    <w:rsid w:val="00A81405"/>
    <w:rsid w:val="00A82FF0"/>
    <w:rsid w:val="00A96434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839BA"/>
    <w:rsid w:val="00B86C35"/>
    <w:rsid w:val="00B86DD8"/>
    <w:rsid w:val="00B92703"/>
    <w:rsid w:val="00B97C18"/>
    <w:rsid w:val="00B97EC1"/>
    <w:rsid w:val="00BA1692"/>
    <w:rsid w:val="00BA2267"/>
    <w:rsid w:val="00BA2E58"/>
    <w:rsid w:val="00BA54F1"/>
    <w:rsid w:val="00BB0B67"/>
    <w:rsid w:val="00BB2970"/>
    <w:rsid w:val="00BC6E99"/>
    <w:rsid w:val="00BC7C00"/>
    <w:rsid w:val="00BD1EFB"/>
    <w:rsid w:val="00BD57C8"/>
    <w:rsid w:val="00BD5B58"/>
    <w:rsid w:val="00BE0E15"/>
    <w:rsid w:val="00BE5CF2"/>
    <w:rsid w:val="00BE72E5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45D1"/>
    <w:rsid w:val="00C7758D"/>
    <w:rsid w:val="00C77777"/>
    <w:rsid w:val="00C8318D"/>
    <w:rsid w:val="00C83387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B02C0"/>
    <w:rsid w:val="00DB0357"/>
    <w:rsid w:val="00DB79E4"/>
    <w:rsid w:val="00DC06A4"/>
    <w:rsid w:val="00DC2BF8"/>
    <w:rsid w:val="00DD7636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5A09"/>
    <w:rsid w:val="00EB6E94"/>
    <w:rsid w:val="00EC1C37"/>
    <w:rsid w:val="00EC4A87"/>
    <w:rsid w:val="00EC6271"/>
    <w:rsid w:val="00ED086D"/>
    <w:rsid w:val="00ED2EB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2515"/>
    <w:rsid w:val="00FA269B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1"/>
    <o:shapelayout v:ext="edit">
      <o:idmap v:ext="edit" data="1"/>
    </o:shapelayout>
  </w:shapeDefaults>
  <w:decimalSymbol w:val=","/>
  <w:listSeparator w:val=";"/>
  <w14:docId w14:val="4F8AB316"/>
  <w15:chartTrackingRefBased/>
  <w15:docId w15:val="{1101D5FF-D256-443B-A466-DC1B0107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customStyle="1" w:styleId="Podtitul">
    <w:name w:val="Podtitul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stefcova@crestco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3609E-54D1-48B2-9D26-09B89385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1653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11385</CharactersWithSpaces>
  <SharedDoc>false</SharedDoc>
  <HLinks>
    <vt:vector size="18" baseType="variant">
      <vt:variant>
        <vt:i4>5636133</vt:i4>
      </vt:variant>
      <vt:variant>
        <vt:i4>9</vt:i4>
      </vt:variant>
      <vt:variant>
        <vt:i4>0</vt:i4>
      </vt:variant>
      <vt:variant>
        <vt:i4>5</vt:i4>
      </vt:variant>
      <vt:variant>
        <vt:lpwstr>mailto:marcela.stefcova@crestcom.cz</vt:lpwstr>
      </vt:variant>
      <vt:variant>
        <vt:lpwstr/>
      </vt:variant>
      <vt:variant>
        <vt:i4>1572878</vt:i4>
      </vt:variant>
      <vt:variant>
        <vt:i4>-1</vt:i4>
      </vt:variant>
      <vt:variant>
        <vt:i4>1027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1026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Markéta Damková</cp:lastModifiedBy>
  <cp:revision>4</cp:revision>
  <cp:lastPrinted>2015-11-30T17:29:00Z</cp:lastPrinted>
  <dcterms:created xsi:type="dcterms:W3CDTF">2020-04-01T10:59:00Z</dcterms:created>
  <dcterms:modified xsi:type="dcterms:W3CDTF">2020-04-01T11:41:00Z</dcterms:modified>
</cp:coreProperties>
</file>